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00422BAF"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w:t>
      </w:r>
      <w:r w:rsidR="009F1EA4">
        <w:rPr>
          <w:b/>
          <w:sz w:val="28"/>
        </w:rPr>
        <w:t>0</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4A3A9F62"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06914" w:rsidRPr="00F06914">
        <w:rPr>
          <w:b/>
          <w:bCs/>
          <w:lang w:eastAsia="cs-CZ"/>
        </w:rPr>
        <w:t>Výběr autobusového dopravce statutárního města Karviné od roku 2024</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3590C" w14:textId="77777777" w:rsidR="009B0EE1" w:rsidRDefault="009B0EE1" w:rsidP="00E452E4">
      <w:pPr>
        <w:spacing w:after="0" w:line="240" w:lineRule="auto"/>
      </w:pPr>
      <w:r>
        <w:separator/>
      </w:r>
    </w:p>
  </w:endnote>
  <w:endnote w:type="continuationSeparator" w:id="0">
    <w:p w14:paraId="09A6E779" w14:textId="77777777" w:rsidR="009B0EE1" w:rsidRDefault="009B0EE1"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470F083A"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06914">
      <w:rPr>
        <w:rStyle w:val="slostrnky"/>
        <w:noProof/>
      </w:rPr>
      <w:t>1</w: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08EC43F5"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F06914" w:rsidRPr="005E34B6">
      <w:rPr>
        <w:rFonts w:ascii="Calibri" w:hAnsi="Calibri"/>
        <w:b/>
        <w:sz w:val="22"/>
        <w:szCs w:val="22"/>
      </w:rPr>
      <w:t>MKVAD1121</w:t>
    </w:r>
    <w:r w:rsidR="00F06914">
      <w:rPr>
        <w:rFonts w:ascii="Calibri" w:hAnsi="Calibri"/>
        <w:b/>
        <w:sz w:val="22"/>
        <w:szCs w:val="22"/>
      </w:rPr>
      <w:t xml:space="preserve">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w:t>
    </w:r>
    <w:r w:rsidR="009F1EA4">
      <w:rPr>
        <w:rFonts w:ascii="Calibri" w:hAnsi="Calibri"/>
        <w:sz w:val="22"/>
      </w:rPr>
      <w:t>0</w:t>
    </w:r>
    <w:r w:rsidR="00F25785">
      <w:rPr>
        <w:rFonts w:ascii="Calibri" w:hAnsi="Calibri"/>
        <w:sz w:val="22"/>
      </w:rPr>
      <w:tab/>
    </w:r>
    <w:r w:rsidR="008476A0" w:rsidRPr="00D1774D">
      <w:rPr>
        <w:rFonts w:ascii="Calibri" w:hAnsi="Calibri"/>
        <w:sz w:val="22"/>
        <w:szCs w:val="22"/>
      </w:rPr>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99F5A" w14:textId="77777777" w:rsidR="009B0EE1" w:rsidRDefault="009B0EE1" w:rsidP="00E452E4">
      <w:pPr>
        <w:spacing w:after="0" w:line="240" w:lineRule="auto"/>
      </w:pPr>
      <w:r>
        <w:separator/>
      </w:r>
    </w:p>
  </w:footnote>
  <w:footnote w:type="continuationSeparator" w:id="0">
    <w:p w14:paraId="044847FF" w14:textId="77777777" w:rsidR="009B0EE1" w:rsidRDefault="009B0EE1"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2848B9"/>
    <w:rsid w:val="003A4A92"/>
    <w:rsid w:val="003D5600"/>
    <w:rsid w:val="003F5FB6"/>
    <w:rsid w:val="00413BDA"/>
    <w:rsid w:val="006358DC"/>
    <w:rsid w:val="008476A0"/>
    <w:rsid w:val="00897F99"/>
    <w:rsid w:val="0097510D"/>
    <w:rsid w:val="009B0EE1"/>
    <w:rsid w:val="009F1EA4"/>
    <w:rsid w:val="00C237D7"/>
    <w:rsid w:val="00E452E4"/>
    <w:rsid w:val="00E77174"/>
    <w:rsid w:val="00F06914"/>
    <w:rsid w:val="00F257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433</Words>
  <Characters>2555</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7</cp:revision>
  <dcterms:created xsi:type="dcterms:W3CDTF">2022-05-24T14:23:00Z</dcterms:created>
  <dcterms:modified xsi:type="dcterms:W3CDTF">2022-11-30T11:30:00Z</dcterms:modified>
</cp:coreProperties>
</file>